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rPr>
          <w:rFonts w:ascii="黑体" w:hAnsi="黑体" w:eastAsia="黑体" w:cs="Arial"/>
          <w:kern w:val="0"/>
          <w:sz w:val="32"/>
          <w:szCs w:val="44"/>
        </w:rPr>
      </w:pPr>
      <w:r>
        <w:rPr>
          <w:rFonts w:hint="eastAsia" w:ascii="黑体" w:hAnsi="黑体" w:eastAsia="黑体" w:cs="Arial"/>
          <w:kern w:val="0"/>
          <w:sz w:val="32"/>
          <w:szCs w:val="44"/>
        </w:rPr>
        <w:t>附件1</w:t>
      </w:r>
    </w:p>
    <w:p>
      <w:pPr>
        <w:widowControl/>
        <w:spacing w:before="156" w:beforeLines="50"/>
        <w:jc w:val="center"/>
        <w:rPr>
          <w:rFonts w:ascii="方正小标宋_GBK" w:hAnsi="Arial" w:eastAsia="方正小标宋_GBK" w:cs="Arial"/>
          <w:kern w:val="0"/>
          <w:sz w:val="44"/>
          <w:szCs w:val="44"/>
        </w:rPr>
      </w:pPr>
      <w:r>
        <w:rPr>
          <w:rFonts w:hint="eastAsia" w:ascii="方正小标宋_GBK" w:hAnsi="Arial" w:eastAsia="方正小标宋_GBK" w:cs="Arial"/>
          <w:kern w:val="0"/>
          <w:sz w:val="44"/>
          <w:szCs w:val="44"/>
        </w:rPr>
        <w:t>20</w:t>
      </w:r>
      <w:r>
        <w:rPr>
          <w:rFonts w:ascii="方正小标宋_GBK" w:hAnsi="Arial" w:eastAsia="方正小标宋_GBK" w:cs="Arial"/>
          <w:kern w:val="0"/>
          <w:sz w:val="44"/>
          <w:szCs w:val="44"/>
        </w:rPr>
        <w:t>21</w:t>
      </w:r>
      <w:r>
        <w:rPr>
          <w:rFonts w:hint="eastAsia" w:ascii="方正小标宋_GBK" w:hAnsi="Arial" w:eastAsia="方正小标宋_GBK" w:cs="Arial"/>
          <w:kern w:val="0"/>
          <w:sz w:val="44"/>
          <w:szCs w:val="44"/>
        </w:rPr>
        <w:t>年智慧江苏重点工程名单</w:t>
      </w:r>
    </w:p>
    <w:p>
      <w:pPr>
        <w:widowControl/>
        <w:jc w:val="center"/>
        <w:rPr>
          <w:rFonts w:ascii="Arial" w:hAnsi="Arial" w:cs="Arial"/>
          <w:kern w:val="0"/>
          <w:sz w:val="24"/>
          <w:szCs w:val="24"/>
        </w:rPr>
      </w:pPr>
    </w:p>
    <w:tbl>
      <w:tblPr>
        <w:tblStyle w:val="6"/>
        <w:tblW w:w="9490" w:type="dxa"/>
        <w:jc w:val="center"/>
        <w:tblLayout w:type="autofit"/>
        <w:tblCellMar>
          <w:top w:w="15" w:type="dxa"/>
          <w:left w:w="15" w:type="dxa"/>
          <w:bottom w:w="15" w:type="dxa"/>
          <w:right w:w="15" w:type="dxa"/>
        </w:tblCellMar>
      </w:tblPr>
      <w:tblGrid>
        <w:gridCol w:w="774"/>
        <w:gridCol w:w="4718"/>
        <w:gridCol w:w="3998"/>
      </w:tblGrid>
      <w:tr>
        <w:tblPrEx>
          <w:tblCellMar>
            <w:top w:w="15" w:type="dxa"/>
            <w:left w:w="15" w:type="dxa"/>
            <w:bottom w:w="15" w:type="dxa"/>
            <w:right w:w="15" w:type="dxa"/>
          </w:tblCellMar>
        </w:tblPrEx>
        <w:trPr>
          <w:trHeight w:val="498" w:hRule="atLeast"/>
          <w:tblHeader/>
          <w:jc w:val="center"/>
        </w:trPr>
        <w:tc>
          <w:tcPr>
            <w:tcW w:w="77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黑体"/>
                <w:kern w:val="0"/>
                <w:sz w:val="28"/>
                <w:szCs w:val="28"/>
              </w:rPr>
            </w:pPr>
            <w:r>
              <w:rPr>
                <w:rFonts w:ascii="Times New Roman" w:hAnsi="Times New Roman" w:eastAsia="黑体"/>
                <w:kern w:val="0"/>
                <w:sz w:val="28"/>
                <w:szCs w:val="28"/>
              </w:rPr>
              <w:t>序号</w:t>
            </w:r>
          </w:p>
        </w:tc>
        <w:tc>
          <w:tcPr>
            <w:tcW w:w="471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黑体" w:hAnsi="黑体" w:eastAsia="黑体" w:cs="Arial"/>
                <w:kern w:val="0"/>
                <w:sz w:val="28"/>
                <w:szCs w:val="30"/>
              </w:rPr>
            </w:pPr>
            <w:r>
              <w:rPr>
                <w:rFonts w:hint="eastAsia" w:ascii="黑体" w:hAnsi="黑体" w:eastAsia="黑体" w:cs="Arial"/>
                <w:kern w:val="0"/>
                <w:sz w:val="28"/>
                <w:szCs w:val="30"/>
              </w:rPr>
              <w:t>项目名称</w:t>
            </w:r>
          </w:p>
        </w:tc>
        <w:tc>
          <w:tcPr>
            <w:tcW w:w="399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黑体" w:hAnsi="黑体" w:eastAsia="黑体" w:cs="Arial"/>
                <w:kern w:val="0"/>
                <w:sz w:val="28"/>
                <w:szCs w:val="30"/>
              </w:rPr>
            </w:pPr>
            <w:r>
              <w:rPr>
                <w:rFonts w:hint="eastAsia" w:ascii="黑体" w:hAnsi="黑体" w:eastAsia="黑体" w:cs="Arial"/>
                <w:kern w:val="0"/>
                <w:sz w:val="28"/>
                <w:szCs w:val="30"/>
              </w:rPr>
              <w:t>建设单位</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智慧口腔综合诊疗服务平台的建设与应用示范</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南京医科大学附属口腔医院</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淮安机场信息化能力提升项目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中电莱斯信息系统有限公司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3</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南水北调江苏智能调度系统</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南水北调东线江苏水源有限责任公司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4</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基于5G技术的智慧中药房示范应用工程项目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苏州信亨自动化科技有限公司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5</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政务云公共能力开放平台及“我的南京”APP大学生版</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南京市大数据管理局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6</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“数字金鸡湖”苏州工业园区数字人民币生态建设项目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中国银行股份有限公司苏州分行</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7</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江苏省工业信息安全保障中心建设及服务</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江苏省电子信息产品质量监督检验研究院</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8</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江苏省信易贷平台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江苏省联合征信有限公司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9</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省人社一体化信息平台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江苏省人力资源和社会保障厅</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10</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江南银行融合数据湖</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江苏江南农村商业银行股份有限公司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11</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徐州市“以智管废”智慧管理平台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徐州新盛绿源循环经济产业投资发展有限公司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12</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医院疫情防控应急指挥平台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边缘智能研究院南京有限公司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13</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智慧校园建设应用与规范标准示范工程</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常州信息职业技术学院</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14</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南京市“互联网+政务服务”“一网通办”建设重点工程</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南京南大智慧城市规划设计股份有限公司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15</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无锡市城市运行管理中心</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无锡市大数据管理局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16</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面向医院智慧管理的大数据平台建设及应用</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南京医科大学第一附属医院</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17</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基于仿真技术的车联网攻防对抗靶场研究开发及产业化</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南京赛宁信息技术有限公司</w:t>
            </w:r>
          </w:p>
        </w:tc>
      </w:tr>
      <w:tr>
        <w:tblPrEx>
          <w:tblCellMar>
            <w:top w:w="15" w:type="dxa"/>
            <w:left w:w="15" w:type="dxa"/>
            <w:bottom w:w="15" w:type="dxa"/>
            <w:right w:w="15" w:type="dxa"/>
          </w:tblCellMar>
        </w:tblPrEx>
        <w:trPr>
          <w:trHeight w:val="964"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18</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江苏省自然资源违法行为实时智能监管系统</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江苏省国土资源信息中心</w:t>
            </w:r>
          </w:p>
        </w:tc>
      </w:tr>
      <w:tr>
        <w:tblPrEx>
          <w:tblCellMar>
            <w:top w:w="15" w:type="dxa"/>
            <w:left w:w="15" w:type="dxa"/>
            <w:bottom w:w="15" w:type="dxa"/>
            <w:right w:w="15" w:type="dxa"/>
          </w:tblCellMar>
        </w:tblPrEx>
        <w:trPr>
          <w:trHeight w:val="964"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19</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南京市江北新区新材料科技园企业园区边界及周边敏感区大气监测数据及异常因子排查溯源服务</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江苏环保产业技术研究院股份公司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20</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太仓市一网通办平台项目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太仓市行政审批局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21</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“e窗行”平台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徐州经济技术开发区行政审批局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22</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博闻大数据-全球媒介传播效果分析服务平台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央视国际网络无锡有限公司</w:t>
            </w:r>
          </w:p>
        </w:tc>
      </w:tr>
      <w:tr>
        <w:tblPrEx>
          <w:tblCellMar>
            <w:top w:w="15" w:type="dxa"/>
            <w:left w:w="15" w:type="dxa"/>
            <w:bottom w:w="15" w:type="dxa"/>
            <w:right w:w="15" w:type="dxa"/>
          </w:tblCellMar>
        </w:tblPrEx>
        <w:trPr>
          <w:trHeight w:val="964"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23</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江苏交通综合执法大脑（江苏省交通综合执法安全畅通应急处置与统计分析动态监测项目）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江苏省交通运输综合行政执法监督局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24</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江苏省卫生健康云（影像平台）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江苏省卫生健康委员会</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25</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5G+工业互联网在散杂货港口的智能化应用</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镇江港务集团有限公司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26</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江苏省农业农村大数据云平台（苏农云）建设项目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江苏省互联网农业发展中心</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27</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田湾核电站7、8号机组智慧工地管理平台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江苏核电有限公司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28</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基于大数据的城市有机质的智慧化管理平台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江苏泓润生物质能科技有限公司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29</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产业大脑</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苏州云联智慧信息技术应用有限公司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95" w:lineRule="atLeast"/>
              <w:jc w:val="center"/>
              <w:rPr>
                <w:rFonts w:ascii="Times New Roman" w:hAnsi="Times New Roman" w:eastAsia="方正仿宋_GBK"/>
                <w:kern w:val="0"/>
                <w:sz w:val="28"/>
                <w:szCs w:val="28"/>
              </w:rPr>
            </w:pPr>
            <w:r>
              <w:rPr>
                <w:rFonts w:ascii="Times New Roman" w:hAnsi="Times New Roman" w:eastAsia="方正仿宋_GBK"/>
                <w:kern w:val="0"/>
                <w:sz w:val="28"/>
                <w:szCs w:val="28"/>
              </w:rPr>
              <w:t>30</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太湖街道融湾颐湾智慧社区服务项目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苏州市吴中区人民政府太湖街道办事处</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Times New Roman" w:hAnsi="Times New Roman" w:eastAsia="等线"/>
                <w:color w:val="000000"/>
                <w:kern w:val="0"/>
                <w:sz w:val="28"/>
                <w:szCs w:val="28"/>
              </w:rPr>
            </w:pPr>
            <w:r>
              <w:rPr>
                <w:rFonts w:ascii="Times New Roman" w:hAnsi="Times New Roman" w:eastAsia="等线"/>
                <w:color w:val="000000"/>
                <w:sz w:val="28"/>
                <w:szCs w:val="28"/>
              </w:rPr>
              <w:t>31</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基于危险化学品生产过程的电气安全应急管理平台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常州天正工业发展股份有限公司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32</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江苏省新高考智慧服务信息化建设工程</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江苏省教育考试院</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33</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国家智能交通综合测试基地建设</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公安部交通管理科学研究所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34</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工业互联网标识应用平台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江苏天目湖互联科技有限公司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35</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江苏省发展和改革委员会分布式智能会议系统</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江苏省发展和改革委员会</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36</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江苏省互联网医疗健康服务与监管一体化平台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江苏省卫生统计信息中心</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37</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“江苏阳光智慧信访”一期工程</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江苏省信访局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38</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数智化服务普惠金融项目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江苏苏州农村商业银行股份有限公司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39</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特种设备“天网”工程</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南通市通州区市场监督管理局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40</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中国电信“翼安居”</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中国电信股份有限公司江苏分公司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41</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5G+MEC智慧轨道交通项目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中国联合网络通信有限公司南京市分公司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42</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连云港石化产业基地封闭管理工程智能化项目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江苏洋井石化集团有限公司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43</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中恒大耀纺织产业互联网及大数据应用平台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中恒大耀纺织科技有限公司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44</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江苏省工程建设项目审批管理系统</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江苏省住房和城乡建设厅</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45</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盐城市应急管理信息化项目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盐城市应急管理局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46</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智水苏州—城区活水联控联调系统平台示范应用</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江苏中科智能系统有限公司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47</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江苏省重点区域VOCs监测监控系统项目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江苏省苏力环境科技有限责任公司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48</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体医融合智慧服务平台项目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spacing w:val="-8"/>
                <w:kern w:val="0"/>
                <w:sz w:val="28"/>
                <w:szCs w:val="28"/>
              </w:rPr>
            </w:pPr>
            <w:r>
              <w:rPr>
                <w:rFonts w:hint="eastAsia" w:ascii="Times New Roman" w:hAnsi="Times New Roman" w:eastAsia="方正仿宋_GBK" w:cs="Times New Roman"/>
                <w:color w:val="000000"/>
                <w:spacing w:val="-8"/>
                <w:kern w:val="0"/>
                <w:sz w:val="28"/>
                <w:szCs w:val="28"/>
              </w:rPr>
              <w:t>江苏苏体运动健康管理有限公司</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49</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苏州城市生活服务总入口APP“苏周到”</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adjustRightInd w:val="0"/>
              <w:snapToGrid w:val="0"/>
              <w:spacing w:before="31" w:beforeLines="10" w:after="31" w:afterLines="10"/>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苏州市人民政府办公室（市大数据管理局）</w:t>
            </w:r>
          </w:p>
        </w:tc>
      </w:tr>
      <w:tr>
        <w:tblPrEx>
          <w:tblCellMar>
            <w:top w:w="15" w:type="dxa"/>
            <w:left w:w="15" w:type="dxa"/>
            <w:bottom w:w="15" w:type="dxa"/>
            <w:right w:w="15" w:type="dxa"/>
          </w:tblCellMar>
        </w:tblPrEx>
        <w:trPr>
          <w:trHeight w:val="907" w:hRule="atLeast"/>
          <w:jc w:val="center"/>
        </w:trPr>
        <w:tc>
          <w:tcPr>
            <w:tcW w:w="77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Times New Roman" w:hAnsi="Times New Roman" w:eastAsia="等线"/>
                <w:color w:val="000000"/>
                <w:sz w:val="28"/>
                <w:szCs w:val="28"/>
              </w:rPr>
            </w:pPr>
            <w:r>
              <w:rPr>
                <w:rFonts w:ascii="Times New Roman" w:hAnsi="Times New Roman" w:eastAsia="等线"/>
                <w:color w:val="000000"/>
                <w:sz w:val="28"/>
                <w:szCs w:val="28"/>
              </w:rPr>
              <w:t>50</w:t>
            </w:r>
          </w:p>
        </w:tc>
        <w:tc>
          <w:tcPr>
            <w:tcW w:w="471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江苏省城乡结对互动课堂项目</w:t>
            </w:r>
          </w:p>
        </w:tc>
        <w:tc>
          <w:tcPr>
            <w:tcW w:w="39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left"/>
              <w:rPr>
                <w:rFonts w:ascii="Times New Roman" w:hAnsi="Times New Roman" w:eastAsia="方正仿宋_GBK" w:cs="Times New Roman"/>
                <w:color w:val="000000"/>
                <w:kern w:val="0"/>
                <w:sz w:val="28"/>
                <w:szCs w:val="28"/>
              </w:rPr>
            </w:pPr>
            <w:r>
              <w:rPr>
                <w:rFonts w:hint="eastAsia" w:ascii="Times New Roman" w:hAnsi="Times New Roman" w:eastAsia="方正仿宋_GBK" w:cs="Times New Roman"/>
                <w:color w:val="000000"/>
                <w:kern w:val="0"/>
                <w:sz w:val="28"/>
                <w:szCs w:val="28"/>
              </w:rPr>
              <w:t>江苏省电化教育馆</w:t>
            </w:r>
          </w:p>
        </w:tc>
      </w:tr>
    </w:tbl>
    <w:p>
      <w:bookmarkStart w:id="0" w:name="_GoBack"/>
      <w:bookmarkEnd w:id="0"/>
    </w:p>
    <w:sectPr>
      <w:footerReference r:id="rId3" w:type="default"/>
      <w:pgSz w:w="11906" w:h="16838"/>
      <w:pgMar w:top="1701" w:right="1797" w:bottom="147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61044"/>
      <w:docPartObj>
        <w:docPartGallery w:val="AutoText"/>
      </w:docPartObj>
    </w:sdtPr>
    <w:sdtEndPr>
      <w:rPr>
        <w:rFonts w:ascii="Times New Roman" w:hAnsi="Times New Roman" w:cs="Times New Roman"/>
        <w:sz w:val="28"/>
      </w:rPr>
    </w:sdtEndPr>
    <w:sdtContent>
      <w:p>
        <w:pPr>
          <w:pStyle w:val="3"/>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rPr>
          <w:t xml:space="preserve">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D4"/>
    <w:rsid w:val="000A1AF9"/>
    <w:rsid w:val="00165C38"/>
    <w:rsid w:val="001C0841"/>
    <w:rsid w:val="001D4A00"/>
    <w:rsid w:val="001E4684"/>
    <w:rsid w:val="00205E2C"/>
    <w:rsid w:val="002230EA"/>
    <w:rsid w:val="00224DA7"/>
    <w:rsid w:val="002B781C"/>
    <w:rsid w:val="003375CB"/>
    <w:rsid w:val="00460964"/>
    <w:rsid w:val="0046263C"/>
    <w:rsid w:val="004B6995"/>
    <w:rsid w:val="0059152E"/>
    <w:rsid w:val="006C10A9"/>
    <w:rsid w:val="00725C78"/>
    <w:rsid w:val="0073558C"/>
    <w:rsid w:val="007A6283"/>
    <w:rsid w:val="008348D5"/>
    <w:rsid w:val="008573EB"/>
    <w:rsid w:val="009021D6"/>
    <w:rsid w:val="009F6B81"/>
    <w:rsid w:val="00AC15B1"/>
    <w:rsid w:val="00AC60D1"/>
    <w:rsid w:val="00BB0931"/>
    <w:rsid w:val="00C22C67"/>
    <w:rsid w:val="00C37AD4"/>
    <w:rsid w:val="00E34AAE"/>
    <w:rsid w:val="00E43196"/>
    <w:rsid w:val="00E54AB7"/>
    <w:rsid w:val="00E7335E"/>
    <w:rsid w:val="00E855BC"/>
    <w:rsid w:val="00EA29B6"/>
    <w:rsid w:val="00EC757F"/>
    <w:rsid w:val="00F00D6B"/>
    <w:rsid w:val="00F16544"/>
    <w:rsid w:val="00FC1245"/>
    <w:rsid w:val="78DDA046"/>
    <w:rsid w:val="FDFEB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Words>
  <Characters>2260</Characters>
  <Lines>18</Lines>
  <Paragraphs>5</Paragraphs>
  <TotalTime>166</TotalTime>
  <ScaleCrop>false</ScaleCrop>
  <LinksUpToDate>false</LinksUpToDate>
  <CharactersWithSpaces>2651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2022-01-10T09:40:00Z</dcterms:created>
  <dc:creator>ABCwork</dc:creator>
  <cp:lastModifiedBy>uos</cp:lastModifiedBy>
  <cp:lastPrinted>2022-01-10T10:25:00Z</cp:lastPrinted>
  <dcterms:modified xsi:type="dcterms:W3CDTF">2022-01-10T14:31:21Z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